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一、项目概述</w:t>
      </w:r>
    </w:p>
    <w:p>
      <w:pPr>
        <w:pStyle w:val="2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Cs w:val="0"/>
          <w:color w:val="auto"/>
          <w:sz w:val="24"/>
        </w:rPr>
      </w:pPr>
      <w:r>
        <w:rPr>
          <w:rFonts w:hint="eastAsia" w:ascii="仿宋" w:hAnsi="仿宋" w:eastAsia="仿宋" w:cs="仿宋"/>
          <w:bCs w:val="0"/>
          <w:color w:val="auto"/>
          <w:sz w:val="24"/>
        </w:rPr>
        <w:t>石牛湖院区污水处理站配备1台COD在线水质自动监测仪（卓正环保ZZ-1001型）、1台数据采集仪（K37A），为杜绝设备故障、数据异常、上传中断等问题，保障设备全年连续稳定运行，现需采购专业维保服务及设备专用耗材，包含设备日常巡检、故障维修、校准标定、系统维护、耗材更换、数据运维、应急保障等全部相关服务。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bCs w:val="0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本项目是自贡市精</w:t>
      </w:r>
      <w:r>
        <w:rPr>
          <w:rFonts w:hint="eastAsia" w:ascii="仿宋" w:hAnsi="仿宋" w:eastAsia="仿宋" w:cs="仿宋"/>
          <w:color w:val="auto"/>
          <w:sz w:val="24"/>
        </w:rPr>
        <w:t>神卫生中心2026年COD在线监测系统维保服务。</w:t>
      </w:r>
      <w:r>
        <w:rPr>
          <w:rFonts w:hint="eastAsia" w:ascii="仿宋" w:hAnsi="仿宋" w:eastAsia="仿宋" w:cs="仿宋"/>
          <w:bCs w:val="0"/>
          <w:color w:val="auto"/>
          <w:sz w:val="24"/>
          <w:lang w:val="zh-CN"/>
        </w:rPr>
        <w:t>采购预算为</w:t>
      </w:r>
      <w:r>
        <w:rPr>
          <w:rFonts w:hint="eastAsia" w:ascii="仿宋" w:hAnsi="仿宋" w:eastAsia="仿宋" w:cs="仿宋"/>
          <w:bCs w:val="0"/>
          <w:color w:val="auto"/>
          <w:sz w:val="24"/>
          <w:lang w:val="en-US" w:eastAsia="zh-CN"/>
        </w:rPr>
        <w:t>29468</w:t>
      </w:r>
      <w:r>
        <w:rPr>
          <w:rFonts w:hint="eastAsia" w:ascii="仿宋" w:hAnsi="仿宋" w:eastAsia="仿宋" w:cs="仿宋"/>
          <w:bCs w:val="0"/>
          <w:color w:val="auto"/>
          <w:sz w:val="24"/>
          <w:lang w:val="zh-CN"/>
        </w:rPr>
        <w:t>元</w:t>
      </w:r>
      <w:r>
        <w:rPr>
          <w:rFonts w:hint="eastAsia" w:ascii="仿宋" w:hAnsi="仿宋" w:eastAsia="仿宋" w:cs="仿宋"/>
          <w:bCs w:val="0"/>
          <w:color w:val="auto"/>
          <w:sz w:val="24"/>
        </w:rPr>
        <w:t>。</w:t>
      </w:r>
    </w:p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  <w:bookmarkStart w:id="0" w:name="_Toc18566"/>
      <w:r>
        <w:rPr>
          <w:rFonts w:hint="eastAsia" w:ascii="仿宋" w:hAnsi="仿宋" w:eastAsia="仿宋" w:cs="仿宋"/>
          <w:b/>
          <w:bCs/>
          <w:color w:val="auto"/>
          <w:sz w:val="24"/>
        </w:rPr>
        <w:t>二、采购内容及技术要求</w:t>
      </w:r>
      <w:bookmarkEnd w:id="0"/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（一）设备维保服务内容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.日常巡检维护：服务商需定期安排专业技术人员上门巡检，每周不少于1次，对COD在线监测设备、数据采集传输设备、管路线路等进行全面检查、清洁、调试、紧固，排查潜在故障隐患，做好巡检记录，建立完整设备运维台账（含电子运维台账）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.故障应急维修：设备出现数据异常、设备报警、停机、数据上传中断、监测数值偏差超标等故障时，服务商需接到报修通知后及时响应，2小时内到达现场处置，一般故障当日修复，重大故障48小时内完成修复，保障设备快速恢复正常运行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3.设备校准标定：严格按照国家环保监测相关标准，定期对COD在线监测设备进行零点、量程校准、线性校验，每季度至少1次，确保设备监测数据精准、有效、合规。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4.系统运维保障：负责监测设备软件系统、数据采集传输系统的日常维护、参数优化、故障排查，保障监测数据实时、稳定、准确上传至生态环境监管平台，杜绝数据断传、误传、漏传等情况。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5.台账及资料管理：全程建立规范化运维台账，详细记录巡检、维修、校准、耗材更换、故障处理等信息，定期整理归档，配合我院及环保部门各项检查、核查、验收工作，按需提供全套运维资料。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6.技术培训支持：免费为我院污水处理管理人员提供设备日常操作、基础排查、简单故障处理、日常维护注意事项等技术培训，提升院内人员设备管理能力。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（二）耗材采购内容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提供适配我院现有COD在线监测设备的全套原装/兼容合格耗材，包含但不限于：监测试剂、消解试剂、校准液、核查液、滤膜、滤芯、采样管路、密封圈、毛细管、蠕动泵管、电磁阀、喇叭口、加热丝、电极、传感器配件等设备常规损耗配件及耗材。所有耗材需符合国家环保监测设备技术标准，质量合格、无杂质、无变质，适配设备型号，保障监测数据稳定性。耗材根据设备运行损耗按需更换、按需供货，确保耗材充足、及时补给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三、服务要求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（实质性要求）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1. 设备全年正常运行率不低于98%，监测数据有效上传率符合生态环境部门标准；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 所有维保操作、校准流程严格遵循国家环境保护局第28号令《污染源自动监控管理办法》、《水污染源在线监测系统（CODCr、NH3-N等）运行技术规范》（HJ 355-2019）等国家相关标准。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、商务要求（实质性要求）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8"/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签订合同日期：成交通知书发出之日起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日内签订合同。 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服务周期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：签订合同后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3、履约地点：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自贡市贡井区贡舒路2段666号</w:t>
      </w:r>
      <w:r>
        <w:rPr>
          <w:rFonts w:hint="eastAsia" w:ascii="仿宋" w:hAnsi="仿宋" w:eastAsia="仿宋" w:cs="仿宋"/>
          <w:sz w:val="24"/>
          <w:szCs w:val="28"/>
        </w:rPr>
        <w:t xml:space="preserve">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8"/>
        </w:rPr>
      </w:pPr>
      <w:r>
        <w:rPr>
          <w:rFonts w:hint="eastAsia" w:ascii="仿宋" w:hAnsi="仿宋" w:eastAsia="仿宋" w:cs="仿宋"/>
          <w:color w:val="auto"/>
          <w:sz w:val="24"/>
          <w:szCs w:val="28"/>
        </w:rPr>
        <w:t>4、付款方式：</w:t>
      </w:r>
      <w:r>
        <w:rPr>
          <w:rFonts w:hint="eastAsia" w:ascii="仿宋" w:hAnsi="仿宋" w:eastAsia="仿宋" w:cs="仿宋"/>
          <w:color w:val="auto"/>
          <w:sz w:val="24"/>
          <w:szCs w:val="28"/>
          <w:lang w:val="en-US" w:eastAsia="zh-CN"/>
        </w:rPr>
        <w:t>服务期满半年后支付合同总金额的50.00%，合同结束后一次性支付剩余合同款50.00%。付款前，乙方应当向甲方出具有效发票。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50271"/>
    <w:rsid w:val="054F64D5"/>
    <w:rsid w:val="0BF815CE"/>
    <w:rsid w:val="10461EAA"/>
    <w:rsid w:val="121F0548"/>
    <w:rsid w:val="15D542F0"/>
    <w:rsid w:val="16A357CF"/>
    <w:rsid w:val="18503462"/>
    <w:rsid w:val="1BB0027C"/>
    <w:rsid w:val="22F52CEF"/>
    <w:rsid w:val="25D76F35"/>
    <w:rsid w:val="26C03881"/>
    <w:rsid w:val="2F740E97"/>
    <w:rsid w:val="34950271"/>
    <w:rsid w:val="37B25C6C"/>
    <w:rsid w:val="389C19FE"/>
    <w:rsid w:val="4A27795D"/>
    <w:rsid w:val="4E6D1B13"/>
    <w:rsid w:val="52686812"/>
    <w:rsid w:val="553C61F3"/>
    <w:rsid w:val="5B484B29"/>
    <w:rsid w:val="5C453324"/>
    <w:rsid w:val="69920441"/>
    <w:rsid w:val="6EC306F9"/>
    <w:rsid w:val="76BC2659"/>
    <w:rsid w:val="773109EF"/>
    <w:rsid w:val="7B6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Cs/>
      <w:sz w:val="18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99"/>
    <w:pPr>
      <w:ind w:left="1680"/>
    </w:pPr>
    <w:rPr>
      <w:szCs w:val="22"/>
    </w:rPr>
  </w:style>
  <w:style w:type="paragraph" w:styleId="6">
    <w:name w:val="Plain Text"/>
    <w:basedOn w:val="1"/>
    <w:next w:val="4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2025-06-23T01:06:00Z</dcterms:created>
  <dc:creator>HDY</dc:creator>
  <cp:lastModifiedBy>宸辰</cp:lastModifiedBy>
  <dcterms:modified xsi:type="dcterms:W3CDTF">2026-07-13T01:43:40Z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3232A4F2D2524BEFADE6623881CFF829</vt:lpwstr>
  </property>
</Properties>
</file>