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ED4F47">
      <w:pPr>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精神卫生学院网站</w:t>
      </w:r>
      <w:r>
        <w:rPr>
          <w:rFonts w:hint="eastAsia" w:ascii="仿宋" w:hAnsi="仿宋" w:eastAsia="仿宋" w:cs="仿宋"/>
          <w:b/>
          <w:bCs/>
          <w:sz w:val="36"/>
          <w:szCs w:val="36"/>
        </w:rPr>
        <w:t>项目实施需求</w:t>
      </w:r>
      <w:r>
        <w:rPr>
          <w:rFonts w:hint="eastAsia" w:ascii="仿宋" w:hAnsi="仿宋" w:eastAsia="仿宋" w:cs="仿宋"/>
          <w:b/>
          <w:bCs/>
          <w:sz w:val="36"/>
          <w:szCs w:val="36"/>
          <w:lang w:eastAsia="zh-CN"/>
        </w:rPr>
        <w:t>（</w:t>
      </w:r>
      <w:r>
        <w:rPr>
          <w:rFonts w:hint="eastAsia" w:ascii="仿宋" w:hAnsi="仿宋" w:eastAsia="仿宋" w:cs="仿宋"/>
          <w:b/>
          <w:bCs/>
          <w:sz w:val="36"/>
          <w:szCs w:val="36"/>
          <w:lang w:val="en-US" w:eastAsia="zh-CN"/>
        </w:rPr>
        <w:t>实质性要求</w:t>
      </w:r>
      <w:r>
        <w:rPr>
          <w:rFonts w:hint="eastAsia" w:ascii="仿宋" w:hAnsi="仿宋" w:eastAsia="仿宋" w:cs="仿宋"/>
          <w:b/>
          <w:bCs/>
          <w:sz w:val="36"/>
          <w:szCs w:val="36"/>
          <w:lang w:eastAsia="zh-CN"/>
        </w:rPr>
        <w:t>）</w:t>
      </w:r>
    </w:p>
    <w:p w14:paraId="128736C5">
      <w:pPr>
        <w:rPr>
          <w:rFonts w:hint="eastAsia" w:ascii="仿宋_GB2312" w:hAnsi="仿宋_GB2312" w:eastAsia="仿宋_GB2312" w:cs="仿宋_GB2312"/>
          <w:b w:val="0"/>
          <w:bCs w:val="0"/>
          <w:sz w:val="32"/>
          <w:szCs w:val="32"/>
          <w:lang w:val="en-US" w:eastAsia="zh-CN"/>
        </w:rPr>
      </w:pPr>
    </w:p>
    <w:p w14:paraId="5AFC45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一、技术要求</w:t>
      </w:r>
    </w:p>
    <w:p w14:paraId="2D1DEC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rPr>
        <w:t>项目实施前，需要供应商充分了解我校网站当前的建设情况，并对学校当前网站现状、痛点进行针对性分析。</w:t>
      </w:r>
    </w:p>
    <w:p w14:paraId="6FB09B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2.</w:t>
      </w:r>
      <w:r>
        <w:rPr>
          <w:rFonts w:hint="eastAsia" w:ascii="仿宋" w:hAnsi="仿宋" w:eastAsia="仿宋" w:cs="仿宋"/>
          <w:b w:val="0"/>
          <w:bCs w:val="0"/>
          <w:sz w:val="24"/>
          <w:szCs w:val="24"/>
        </w:rPr>
        <w:t>结合学校办学理念、办学特色、特殊定位和自身特点，确定模板选择方案，提出模板选择建议，包含栏目设置、首页内容规划、功能规划、布局及整体形象分析等。</w:t>
      </w:r>
    </w:p>
    <w:p w14:paraId="6829B7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3.</w:t>
      </w:r>
      <w:r>
        <w:rPr>
          <w:rFonts w:hint="eastAsia" w:ascii="仿宋" w:hAnsi="仿宋" w:eastAsia="仿宋" w:cs="仿宋"/>
          <w:b w:val="0"/>
          <w:bCs w:val="0"/>
          <w:sz w:val="24"/>
          <w:szCs w:val="24"/>
        </w:rPr>
        <w:t>支持采购人在提供的模板库内自主选择所需模板风格，根据学校选定的模板风格进行页面建设和原站内容的迁移。</w:t>
      </w:r>
    </w:p>
    <w:p w14:paraId="3F9DCA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4.</w:t>
      </w:r>
      <w:r>
        <w:rPr>
          <w:rFonts w:hint="eastAsia" w:ascii="仿宋" w:hAnsi="仿宋" w:eastAsia="仿宋" w:cs="仿宋"/>
          <w:b w:val="0"/>
          <w:bCs w:val="0"/>
          <w:sz w:val="24"/>
          <w:szCs w:val="24"/>
        </w:rPr>
        <w:t>配色原则上要符合学校VI体系的要求，可适当增加对比度较强的主辅色来强化学校品牌识别度，带给用户更丰富的视觉体验。</w:t>
      </w:r>
    </w:p>
    <w:p w14:paraId="18692A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5.</w:t>
      </w:r>
      <w:r>
        <w:rPr>
          <w:rFonts w:hint="eastAsia" w:ascii="仿宋" w:hAnsi="仿宋" w:eastAsia="仿宋" w:cs="仿宋"/>
          <w:b w:val="0"/>
          <w:bCs w:val="0"/>
          <w:sz w:val="24"/>
          <w:szCs w:val="24"/>
        </w:rPr>
        <w:t>网站实施：</w:t>
      </w:r>
    </w:p>
    <w:p w14:paraId="22DFA6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(1)项目建设时，需要引用学校特色视频和图片，来增强学校文化软实力信息的输出，并提高网站可读性，提升用户访问网站的愉悦性。</w:t>
      </w:r>
    </w:p>
    <w:p w14:paraId="7527C4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(2)需要确保网站来访用户浏览路径清晰，做到让用户有持续探索查阅的欲望。</w:t>
      </w:r>
    </w:p>
    <w:p w14:paraId="1CC190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(3)功能入口要醒目而不突兀，增强网站的实用性和服务属性。</w:t>
      </w:r>
    </w:p>
    <w:p w14:paraId="5A80ED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(4)网站页面实施：页面裁切及效果实施、页面布局色调微调、栏目建设、文章源建设；</w:t>
      </w:r>
    </w:p>
    <w:p w14:paraId="281F96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(5)网站代码开发：所有页面html代码编写及所有页面前段动态效果制作；</w:t>
      </w:r>
    </w:p>
    <w:p w14:paraId="3A1592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(6)网站功能实施：包括栏目建设、文章源建设、网站页面与栏目资料源对接、网站功能实施、网站原站数据录入；</w:t>
      </w:r>
    </w:p>
    <w:p w14:paraId="7FFF34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(7)网站整体调优：在不同分辨率设备下进行网站整体前台页面调优，网站兼容性调整。所有实施页面均需单独调试。在不同分辨率下对网站页面整体进行优化调整；使用不同的访问设备对网站进行整体测试。</w:t>
      </w:r>
    </w:p>
    <w:p w14:paraId="7DB86A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(8)根据不同栏目的属性，按照模板，栏目，资料库分离模式，实现网站后续的建设和管理。</w:t>
      </w:r>
    </w:p>
    <w:p w14:paraId="4D42E2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(9)支持在</w:t>
      </w:r>
      <w:r>
        <w:rPr>
          <w:rFonts w:hint="eastAsia" w:ascii="仿宋" w:hAnsi="仿宋" w:eastAsia="仿宋" w:cs="仿宋"/>
          <w:b w:val="0"/>
          <w:bCs w:val="0"/>
          <w:sz w:val="24"/>
          <w:szCs w:val="24"/>
          <w:lang w:eastAsia="zh-CN"/>
        </w:rPr>
        <w:t>西南医科大学</w:t>
      </w:r>
      <w:r>
        <w:rPr>
          <w:rFonts w:hint="eastAsia" w:ascii="仿宋" w:hAnsi="仿宋" w:eastAsia="仿宋" w:cs="仿宋"/>
          <w:b w:val="0"/>
          <w:bCs w:val="0"/>
          <w:sz w:val="24"/>
          <w:szCs w:val="24"/>
        </w:rPr>
        <w:t>现有站群上实现网站建设，项目团队须具备在学校当前网站群管理平台实现网站可视化建站的能力，能够通过所见即所得的方式，快速实现页面构建。</w:t>
      </w:r>
    </w:p>
    <w:p w14:paraId="3E679C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(10)网站整体测试：实施工作全部完成后，由专业的测试人员使用不同的访问设备，在不同分辨率下对网站各个模块栏目等兼容性、正确性等进行测试。</w:t>
      </w:r>
    </w:p>
    <w:p w14:paraId="58A823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(11)部署、交付、试运行：将网站部署至学校站群平台。</w:t>
      </w:r>
    </w:p>
    <w:p w14:paraId="4451E9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rPr>
        <w:t>多屏适配：</w:t>
      </w:r>
    </w:p>
    <w:p w14:paraId="26442A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(1)在多终端用户访问过程中，需实现移动网站栏目结构与PC网站栏目保持一致，手机与PC使用同一域名，用户访问时支持网站在PC、手机、Pad多屏幕的自动适配展示。</w:t>
      </w:r>
    </w:p>
    <w:p w14:paraId="21AE27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(2)模板页面展示需要支持对所有主流操作系统的手机终端及浏览器提供优良的适配效果，为用户提供更好的访问体验。</w:t>
      </w:r>
    </w:p>
    <w:p w14:paraId="249E86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(3)支持采用自适应的方式实现访问终端自动适配，采用html5技术，做到访问设备在不同浏览器端进行结构的重新排列和CSS的重新渲染，给用户带来更好的浏览体验。</w:t>
      </w:r>
    </w:p>
    <w:p w14:paraId="4865C5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(4)支持移动端页面文字自动换行适配，图片符合移动设备界面尺寸要求进行自适应。</w:t>
      </w:r>
    </w:p>
    <w:p w14:paraId="222DE9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项目实施后需求</w:t>
      </w:r>
      <w:r>
        <w:rPr>
          <w:rFonts w:hint="eastAsia" w:ascii="仿宋" w:hAnsi="仿宋" w:eastAsia="仿宋" w:cs="仿宋"/>
          <w:b w:val="0"/>
          <w:bCs w:val="0"/>
          <w:sz w:val="24"/>
          <w:szCs w:val="24"/>
        </w:rPr>
        <w:tab/>
      </w:r>
      <w:r>
        <w:rPr>
          <w:rFonts w:hint="eastAsia" w:ascii="仿宋" w:hAnsi="仿宋" w:eastAsia="仿宋" w:cs="仿宋"/>
          <w:b w:val="0"/>
          <w:bCs w:val="0"/>
          <w:sz w:val="24"/>
          <w:szCs w:val="24"/>
        </w:rPr>
        <w:t>网站基于现有站群运转稳定性测试</w:t>
      </w:r>
    </w:p>
    <w:p w14:paraId="1BF7A8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(1)网站需要纳入</w:t>
      </w:r>
      <w:r>
        <w:rPr>
          <w:rFonts w:hint="eastAsia" w:ascii="仿宋" w:hAnsi="仿宋" w:eastAsia="仿宋" w:cs="仿宋"/>
          <w:b w:val="0"/>
          <w:bCs w:val="0"/>
          <w:sz w:val="24"/>
          <w:szCs w:val="24"/>
          <w:lang w:eastAsia="zh-CN"/>
        </w:rPr>
        <w:t>西南医科大学</w:t>
      </w:r>
      <w:r>
        <w:rPr>
          <w:rFonts w:hint="eastAsia" w:ascii="仿宋" w:hAnsi="仿宋" w:eastAsia="仿宋" w:cs="仿宋"/>
          <w:b w:val="0"/>
          <w:bCs w:val="0"/>
          <w:sz w:val="24"/>
          <w:szCs w:val="24"/>
        </w:rPr>
        <w:t>现有网站群平台的安全防火墙之下进行统一安全防护。</w:t>
      </w:r>
    </w:p>
    <w:p w14:paraId="5450BE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(2)网站需要实现面向学校站群内其他各站点实现跨站点跨栏目的信息便捷投递，无需调用任何接口，实现站群的信息互通共享。</w:t>
      </w:r>
    </w:p>
    <w:p w14:paraId="4C5E17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(3)网站纳入现有学校站群体系后，需支持在特殊时期网站的统一一键置灰；支持在站群平台实现对网站的停止、启用、发布等方面的功能，提供网站检索、网站排序。</w:t>
      </w:r>
    </w:p>
    <w:p w14:paraId="4E4AD4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(4)网站纳入现有站群体系后需严格遵循安全管理原则，能够有效响应现有学校网站群安全管理体系的统一安全防护操作，包含：网站备份、网站体检、应用防火墙、运维监控、网站安全补丁、网站授权监控、防篡改、危险文件扫描等信息的推送和提醒。</w:t>
      </w:r>
    </w:p>
    <w:p w14:paraId="76E7DF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7.</w:t>
      </w:r>
      <w:r>
        <w:rPr>
          <w:rFonts w:hint="eastAsia" w:ascii="仿宋" w:hAnsi="仿宋" w:eastAsia="仿宋" w:cs="仿宋"/>
          <w:b w:val="0"/>
          <w:bCs w:val="0"/>
          <w:sz w:val="24"/>
          <w:szCs w:val="24"/>
        </w:rPr>
        <w:t>网站建设测试：</w:t>
      </w:r>
    </w:p>
    <w:p w14:paraId="05D9E8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(1)本次网站建设需要通过学校网站入驻当前站群系统前的安全代码筛查功能，有效排查其中的JS脚本，漏洞问题，保障网站安全。</w:t>
      </w:r>
    </w:p>
    <w:p w14:paraId="2C1557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(2)网站需要通过功能性测试，包括表单测试、搜索测试、附件下载测试。</w:t>
      </w:r>
    </w:p>
    <w:p w14:paraId="070290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(3)支持进行可用性测试，包括易用性、导航条、内容、颜色/背景、图形界面测试。</w:t>
      </w:r>
    </w:p>
    <w:p w14:paraId="4C1A22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(4)网站需通过用户界面测试，支持依据界面审核原则，验证界面是否美观、布局是否正确合理。</w:t>
      </w:r>
    </w:p>
    <w:p w14:paraId="352862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(5)网站需通过各主流浏览器下的兼容性测试，包括Edge，Firefox，Google，Chrome，360兼容版和极速版。</w:t>
      </w:r>
    </w:p>
    <w:p w14:paraId="774848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(6)需要保证迁移原有中文网站的全部数据到学校现有网站群体系之内，实现网站的集约化管理和安全管控，需要做到数据与内容的无损，确保数据的延续性。</w:t>
      </w:r>
    </w:p>
    <w:p w14:paraId="191CB6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二、商务要求</w:t>
      </w:r>
    </w:p>
    <w:p w14:paraId="5A060A7B">
      <w:pPr>
        <w:widowControl/>
        <w:spacing w:line="360" w:lineRule="auto"/>
        <w:ind w:firstLine="480" w:firstLineChars="200"/>
        <w:rPr>
          <w:rFonts w:hint="eastAsia" w:ascii="仿宋" w:hAnsi="仿宋" w:eastAsia="仿宋"/>
          <w:b w:val="0"/>
          <w:bCs w:val="0"/>
          <w:color w:val="000000"/>
          <w:sz w:val="24"/>
        </w:rPr>
      </w:pPr>
      <w:r>
        <w:rPr>
          <w:rFonts w:hint="eastAsia" w:ascii="仿宋" w:hAnsi="仿宋" w:eastAsia="仿宋"/>
          <w:b w:val="0"/>
          <w:bCs w:val="0"/>
          <w:color w:val="000000"/>
          <w:kern w:val="0"/>
          <w:sz w:val="24"/>
        </w:rPr>
        <w:t>1</w:t>
      </w:r>
      <w:r>
        <w:rPr>
          <w:rFonts w:hint="eastAsia" w:ascii="仿宋" w:hAnsi="仿宋" w:eastAsia="仿宋"/>
          <w:b w:val="0"/>
          <w:bCs w:val="0"/>
          <w:color w:val="000000"/>
          <w:kern w:val="0"/>
          <w:sz w:val="24"/>
          <w:lang w:val="en-US" w:eastAsia="zh-CN"/>
        </w:rPr>
        <w:t>.服务期限</w:t>
      </w:r>
      <w:r>
        <w:rPr>
          <w:rFonts w:hint="eastAsia" w:ascii="仿宋" w:hAnsi="仿宋" w:eastAsia="仿宋"/>
          <w:b w:val="0"/>
          <w:bCs w:val="0"/>
          <w:color w:val="000000"/>
          <w:kern w:val="0"/>
          <w:sz w:val="24"/>
        </w:rPr>
        <w:t xml:space="preserve">: </w:t>
      </w:r>
      <w:r>
        <w:rPr>
          <w:rFonts w:hint="eastAsia" w:ascii="仿宋" w:hAnsi="仿宋" w:eastAsia="仿宋"/>
          <w:b w:val="0"/>
          <w:bCs w:val="0"/>
          <w:color w:val="000000"/>
          <w:kern w:val="0"/>
          <w:sz w:val="24"/>
          <w:lang w:val="en-US" w:eastAsia="zh-CN"/>
        </w:rPr>
        <w:t>自合同签订之日起</w:t>
      </w:r>
      <w:r>
        <w:rPr>
          <w:rFonts w:hint="eastAsia" w:ascii="仿宋" w:hAnsi="仿宋" w:eastAsia="仿宋"/>
          <w:b w:val="0"/>
          <w:bCs w:val="0"/>
          <w:color w:val="000000"/>
          <w:kern w:val="0"/>
          <w:sz w:val="24"/>
          <w:highlight w:val="none"/>
          <w:lang w:val="en-US" w:eastAsia="zh-CN"/>
        </w:rPr>
        <w:t>40个</w:t>
      </w:r>
      <w:r>
        <w:rPr>
          <w:rFonts w:hint="eastAsia" w:ascii="仿宋" w:hAnsi="仿宋" w:eastAsia="仿宋"/>
          <w:b w:val="0"/>
          <w:bCs w:val="0"/>
          <w:color w:val="000000"/>
          <w:kern w:val="0"/>
          <w:sz w:val="24"/>
          <w:lang w:val="en-US" w:eastAsia="zh-CN"/>
        </w:rPr>
        <w:t>工作日内完成建设、验收并交付使用</w:t>
      </w:r>
      <w:r>
        <w:rPr>
          <w:rFonts w:hint="eastAsia" w:ascii="仿宋" w:hAnsi="仿宋" w:eastAsia="仿宋"/>
          <w:b w:val="0"/>
          <w:bCs w:val="0"/>
          <w:color w:val="000000"/>
          <w:sz w:val="24"/>
          <w:lang w:val="en-US" w:eastAsia="zh-CN"/>
        </w:rPr>
        <w:t>。</w:t>
      </w:r>
    </w:p>
    <w:p w14:paraId="5699FB0B">
      <w:pPr>
        <w:widowControl/>
        <w:spacing w:line="360" w:lineRule="auto"/>
        <w:ind w:firstLine="480" w:firstLineChars="200"/>
        <w:rPr>
          <w:rFonts w:hint="default" w:ascii="仿宋" w:hAnsi="仿宋" w:eastAsia="仿宋"/>
          <w:b w:val="0"/>
          <w:bCs w:val="0"/>
          <w:color w:val="000000"/>
          <w:kern w:val="0"/>
          <w:sz w:val="24"/>
          <w:lang w:val="en-US" w:eastAsia="zh-CN"/>
        </w:rPr>
      </w:pPr>
      <w:r>
        <w:rPr>
          <w:rFonts w:hint="eastAsia" w:ascii="仿宋" w:hAnsi="仿宋" w:eastAsia="仿宋"/>
          <w:b w:val="0"/>
          <w:bCs w:val="0"/>
          <w:color w:val="000000"/>
          <w:kern w:val="0"/>
          <w:sz w:val="24"/>
        </w:rPr>
        <w:t>2</w:t>
      </w:r>
      <w:r>
        <w:rPr>
          <w:rFonts w:hint="eastAsia" w:ascii="仿宋" w:hAnsi="仿宋" w:eastAsia="仿宋"/>
          <w:b w:val="0"/>
          <w:bCs w:val="0"/>
          <w:color w:val="000000"/>
          <w:kern w:val="0"/>
          <w:sz w:val="24"/>
          <w:lang w:val="en-US" w:eastAsia="zh-CN"/>
        </w:rPr>
        <w:t>.交货地点：采购人指定地点。</w:t>
      </w:r>
    </w:p>
    <w:p w14:paraId="69486CF2">
      <w:pPr>
        <w:widowControl/>
        <w:spacing w:line="360" w:lineRule="auto"/>
        <w:ind w:firstLine="480" w:firstLineChars="200"/>
        <w:rPr>
          <w:rFonts w:hint="eastAsia" w:ascii="仿宋" w:hAnsi="仿宋" w:eastAsia="仿宋"/>
          <w:b w:val="0"/>
          <w:bCs w:val="0"/>
          <w:color w:val="000000"/>
          <w:kern w:val="0"/>
          <w:sz w:val="24"/>
        </w:rPr>
      </w:pPr>
      <w:r>
        <w:rPr>
          <w:rFonts w:hint="eastAsia" w:ascii="仿宋" w:hAnsi="仿宋" w:eastAsia="仿宋"/>
          <w:b w:val="0"/>
          <w:bCs w:val="0"/>
          <w:color w:val="000000"/>
          <w:kern w:val="0"/>
          <w:sz w:val="24"/>
          <w:lang w:val="en-US" w:eastAsia="zh-CN"/>
        </w:rPr>
        <w:t>3.</w:t>
      </w:r>
      <w:r>
        <w:rPr>
          <w:rFonts w:hint="eastAsia" w:ascii="仿宋" w:hAnsi="仿宋" w:eastAsia="仿宋"/>
          <w:b w:val="0"/>
          <w:bCs w:val="0"/>
          <w:color w:val="000000"/>
          <w:kern w:val="0"/>
          <w:sz w:val="24"/>
        </w:rPr>
        <w:t>付款方式：验收合格后且收到供应商出具合法有效完整的完税发票及凭证资料</w:t>
      </w:r>
      <w:r>
        <w:rPr>
          <w:rFonts w:hint="eastAsia" w:ascii="仿宋" w:hAnsi="仿宋" w:eastAsia="仿宋"/>
          <w:b w:val="0"/>
          <w:bCs w:val="0"/>
          <w:color w:val="000000"/>
          <w:kern w:val="0"/>
          <w:sz w:val="24"/>
          <w:lang w:val="en-US" w:eastAsia="zh-CN"/>
        </w:rPr>
        <w:t>30</w:t>
      </w:r>
      <w:r>
        <w:rPr>
          <w:rFonts w:hint="eastAsia" w:ascii="仿宋" w:hAnsi="仿宋" w:eastAsia="仿宋"/>
          <w:b w:val="0"/>
          <w:bCs w:val="0"/>
          <w:color w:val="000000"/>
          <w:kern w:val="0"/>
          <w:sz w:val="24"/>
        </w:rPr>
        <w:t>日内</w:t>
      </w:r>
      <w:r>
        <w:rPr>
          <w:rFonts w:hint="eastAsia" w:ascii="仿宋" w:hAnsi="仿宋" w:eastAsia="仿宋"/>
          <w:b w:val="0"/>
          <w:bCs w:val="0"/>
          <w:color w:val="000000"/>
          <w:kern w:val="0"/>
          <w:sz w:val="24"/>
          <w:lang w:eastAsia="zh-CN"/>
        </w:rPr>
        <w:t>一次性支付</w:t>
      </w:r>
      <w:r>
        <w:rPr>
          <w:rFonts w:hint="eastAsia" w:ascii="仿宋" w:hAnsi="仿宋" w:eastAsia="仿宋"/>
          <w:b w:val="0"/>
          <w:bCs w:val="0"/>
          <w:color w:val="000000"/>
          <w:kern w:val="0"/>
          <w:sz w:val="24"/>
          <w:lang w:val="en-US" w:eastAsia="zh-CN"/>
        </w:rPr>
        <w:t>。</w:t>
      </w:r>
    </w:p>
    <w:p w14:paraId="5EC4BA5B">
      <w:pPr>
        <w:widowControl/>
        <w:spacing w:line="360" w:lineRule="auto"/>
        <w:ind w:firstLine="480" w:firstLineChars="200"/>
        <w:rPr>
          <w:rFonts w:hint="default" w:ascii="仿宋" w:hAnsi="仿宋" w:eastAsia="仿宋"/>
          <w:b w:val="0"/>
          <w:bCs w:val="0"/>
          <w:color w:val="auto"/>
          <w:sz w:val="24"/>
          <w:lang w:val="en-US" w:eastAsia="zh-CN"/>
        </w:rPr>
      </w:pPr>
      <w:r>
        <w:rPr>
          <w:rFonts w:hint="eastAsia" w:ascii="仿宋" w:hAnsi="仿宋" w:eastAsia="仿宋"/>
          <w:b w:val="0"/>
          <w:bCs w:val="0"/>
          <w:color w:val="000000"/>
          <w:kern w:val="0"/>
          <w:sz w:val="24"/>
          <w:lang w:val="en-US" w:eastAsia="zh-CN"/>
        </w:rPr>
        <w:t>4.</w:t>
      </w:r>
      <w:r>
        <w:rPr>
          <w:rFonts w:hint="eastAsia" w:ascii="仿宋" w:hAnsi="仿宋" w:eastAsia="仿宋"/>
          <w:b w:val="0"/>
          <w:bCs w:val="0"/>
          <w:color w:val="000000"/>
          <w:kern w:val="0"/>
          <w:sz w:val="24"/>
        </w:rPr>
        <w:t>验收：</w:t>
      </w:r>
      <w:r>
        <w:rPr>
          <w:rFonts w:hint="eastAsia" w:ascii="仿宋" w:hAnsi="仿宋" w:eastAsia="仿宋"/>
          <w:b w:val="0"/>
          <w:bCs w:val="0"/>
          <w:color w:val="000000"/>
          <w:kern w:val="0"/>
          <w:sz w:val="24"/>
          <w:lang w:val="en-US" w:eastAsia="zh-CN"/>
        </w:rPr>
        <w:t>按照政府采购相</w:t>
      </w:r>
      <w:r>
        <w:rPr>
          <w:rFonts w:hint="eastAsia" w:ascii="仿宋" w:hAnsi="仿宋" w:eastAsia="仿宋"/>
          <w:b w:val="0"/>
          <w:bCs w:val="0"/>
          <w:color w:val="auto"/>
          <w:sz w:val="24"/>
          <w:lang w:val="en-US" w:eastAsia="zh-CN"/>
        </w:rPr>
        <w:t>关法律法规以及《财政部关于进一步加强政府采购需求和履约验收管理的指导意见》财库〔2016〕205号、财库〔2021〕22号的要求、采购文件规定的要求和响应文件及合同约定的内容进行验收。</w:t>
      </w:r>
    </w:p>
    <w:p w14:paraId="7FFAD4FE">
      <w:pPr>
        <w:pStyle w:val="5"/>
        <w:numPr>
          <w:ilvl w:val="0"/>
          <w:numId w:val="0"/>
        </w:numPr>
        <w:spacing w:line="360" w:lineRule="auto"/>
        <w:ind w:left="0" w:leftChars="0" w:right="0" w:rightChars="0" w:firstLine="480" w:firstLineChars="200"/>
        <w:rPr>
          <w:rFonts w:hint="default" w:ascii="仿宋_GB2312" w:hAnsi="仿宋_GB2312" w:eastAsia="仿宋_GB2312" w:cs="仿宋_GB2312"/>
          <w:b w:val="0"/>
          <w:bCs w:val="0"/>
          <w:sz w:val="32"/>
          <w:szCs w:val="32"/>
          <w:lang w:val="en-US" w:eastAsia="zh-CN"/>
        </w:rPr>
      </w:pPr>
      <w:bookmarkStart w:id="0" w:name="_GoBack"/>
      <w:r>
        <w:rPr>
          <w:rFonts w:hint="eastAsia" w:ascii="仿宋" w:hAnsi="仿宋" w:eastAsia="仿宋" w:cs="Times New Roman"/>
          <w:b w:val="0"/>
          <w:bCs w:val="0"/>
          <w:color w:val="auto"/>
          <w:kern w:val="0"/>
          <w:sz w:val="24"/>
          <w:szCs w:val="24"/>
          <w:lang w:val="en-US" w:eastAsia="zh-CN" w:bidi="ar-SA"/>
        </w:rPr>
        <w:t>5.</w:t>
      </w:r>
      <w:r>
        <w:rPr>
          <w:rFonts w:hint="eastAsia" w:ascii="仿宋" w:hAnsi="仿宋" w:eastAsia="仿宋"/>
          <w:b w:val="0"/>
          <w:bCs w:val="0"/>
          <w:color w:val="000000"/>
          <w:sz w:val="24"/>
        </w:rPr>
        <w:t>质保期限：</w:t>
      </w:r>
      <w:r>
        <w:rPr>
          <w:rFonts w:hint="eastAsia" w:ascii="仿宋" w:hAnsi="仿宋" w:eastAsia="仿宋" w:cs="Times New Roman"/>
          <w:b w:val="0"/>
          <w:bCs w:val="0"/>
          <w:color w:val="000000"/>
          <w:kern w:val="0"/>
          <w:sz w:val="24"/>
          <w:szCs w:val="24"/>
          <w:lang w:val="en-US" w:eastAsia="zh-CN" w:bidi="ar-SA"/>
        </w:rPr>
        <w:t>自验收合格之日</w:t>
      </w:r>
      <w:r>
        <w:rPr>
          <w:rFonts w:hint="eastAsia" w:ascii="仿宋" w:hAnsi="仿宋" w:eastAsia="仿宋" w:cs="Times New Roman"/>
          <w:b w:val="0"/>
          <w:bCs w:val="0"/>
          <w:color w:val="000000"/>
          <w:kern w:val="0"/>
          <w:sz w:val="24"/>
          <w:szCs w:val="24"/>
          <w:highlight w:val="none"/>
          <w:lang w:val="en-US" w:eastAsia="zh-CN" w:bidi="ar-SA"/>
        </w:rPr>
        <w:t>起计算1年。</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Songti SC">
    <w:panose1 w:val="02010800040101010101"/>
    <w:charset w:val="86"/>
    <w:family w:val="auto"/>
    <w:pitch w:val="default"/>
    <w:sig w:usb0="00000001" w:usb1="080F0000" w:usb2="00000000" w:usb3="00000000" w:csb0="00040000" w:csb1="00000000"/>
  </w:font>
  <w:font w:name="仿宋_GB2312">
    <w:altName w:val="仿宋-简"/>
    <w:panose1 w:val="02010609030101010101"/>
    <w:charset w:val="86"/>
    <w:family w:val="auto"/>
    <w:pitch w:val="default"/>
    <w:sig w:usb0="00000000" w:usb1="00000000" w:usb2="00000000" w:usb3="00000000" w:csb0="00040000" w:csb1="00000000"/>
  </w:font>
  <w:font w:name="仿宋">
    <w:altName w:val="仿宋-简"/>
    <w:panose1 w:val="02010609060101010101"/>
    <w:charset w:val="86"/>
    <w:family w:val="auto"/>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1557F7"/>
    <w:rsid w:val="0A4B2FDA"/>
    <w:rsid w:val="101A61FD"/>
    <w:rsid w:val="3E861A51"/>
    <w:rsid w:val="79C81E37"/>
    <w:rsid w:val="D9B776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BodyText"/>
    <w:basedOn w:val="1"/>
    <w:qFormat/>
    <w:uiPriority w:val="0"/>
    <w:pPr>
      <w:jc w:val="both"/>
    </w:pPr>
    <w:rPr>
      <w:rFonts w:eastAsia="仿宋_GB2312"/>
      <w:kern w:val="2"/>
      <w:sz w:val="32"/>
      <w:szCs w:val="32"/>
      <w:lang w:val="en-US" w:eastAsia="zh-CN" w:bidi="ar-SA"/>
    </w:rPr>
  </w:style>
  <w:style w:type="paragraph" w:customStyle="1" w:styleId="5">
    <w:name w:val="正文缩进1"/>
    <w:basedOn w:val="1"/>
    <w:qFormat/>
    <w:uiPriority w:val="0"/>
    <w:pPr>
      <w:keepNext w:val="0"/>
      <w:keepLines w:val="0"/>
      <w:widowControl w:val="0"/>
      <w:suppressLineNumbers w:val="0"/>
      <w:spacing w:before="0" w:beforeAutospacing="0" w:after="0" w:afterAutospacing="0"/>
      <w:ind w:left="0" w:right="0" w:firstLine="200" w:firstLineChars="200"/>
      <w:jc w:val="both"/>
    </w:pPr>
    <w:rPr>
      <w:rFonts w:ascii="Calibri" w:hAnsi="Calibri" w:eastAsia="宋体"/>
      <w:kern w:val="2"/>
      <w:sz w:val="21"/>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9</TotalTime>
  <ScaleCrop>false</ScaleCrop>
  <LinksUpToDate>false</LinksUpToDate>
  <CharactersWithSpaces>0</CharactersWithSpaces>
  <Application>WPS Office_12.1.25869.25869_F1E327BC-269C-435d-A152-05C5408002CA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2026-08-03T15:10:00Z</dcterms:created>
  <dc:creator>Administrator</dc:creator>
  <cp:lastModifiedBy>囚鸟</cp:lastModifiedBy>
  <dcterms:modified xsi:type="dcterms:W3CDTF">2026-08-12T14:55:56Z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2052-12.1.25869.25869</vt:lpwstr>
  </property>
  <property fmtid="{D5CDD505-2E9C-101B-9397-08002B2CF9AE}" pid="3" name="ICV">
    <vt:lpwstr>42B0209CCFD840D397BB3CBBB5924CAA</vt:lpwstr>
  </property>
</Properties>
</file>