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outlineLvl w:val="1"/>
        <w:rPr>
          <w:rFonts w:hint="eastAsia" w:ascii="仿宋" w:hAnsi="仿宋" w:eastAsia="仿宋" w:cs="仿宋"/>
          <w:b/>
          <w:color w:val="FF0000"/>
          <w:sz w:val="30"/>
          <w:szCs w:val="30"/>
        </w:rPr>
      </w:pPr>
      <w:bookmarkStart w:id="0" w:name="_Toc22218"/>
      <w: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  <w:t>一、</w:t>
      </w:r>
      <w:r>
        <w:rPr>
          <w:rFonts w:hint="eastAsia" w:ascii="仿宋" w:hAnsi="仿宋" w:eastAsia="仿宋" w:cs="仿宋"/>
          <w:b/>
          <w:color w:val="auto"/>
          <w:sz w:val="30"/>
          <w:szCs w:val="30"/>
        </w:rPr>
        <w:t>项目概述</w:t>
      </w:r>
      <w:bookmarkEnd w:id="0"/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hint="default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bookmarkStart w:id="1" w:name="_Toc217446095"/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自贡市精神卫生中心为提高资金使用效益，医院拟确定1家有资质供应公司作为候选的单位，对医院冰箱进行供应。预算7.5万元。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outlineLvl w:val="1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bookmarkStart w:id="2" w:name="_Toc1506"/>
      <w:r>
        <w:rPr>
          <w:rFonts w:hint="eastAsia" w:ascii="仿宋" w:hAnsi="仿宋" w:eastAsia="仿宋" w:cs="仿宋"/>
          <w:b/>
          <w:bCs/>
          <w:color w:val="auto"/>
          <w:sz w:val="28"/>
          <w:szCs w:val="36"/>
        </w:rPr>
        <w:t>★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二、项目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清单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及参数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要求</w:t>
      </w:r>
      <w:bookmarkEnd w:id="2"/>
    </w:p>
    <w:tbl>
      <w:tblPr>
        <w:tblStyle w:val="5"/>
        <w:tblW w:w="554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204"/>
        <w:gridCol w:w="850"/>
        <w:gridCol w:w="4969"/>
        <w:gridCol w:w="1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9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636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规格(</w:t>
            </w: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  <w:lang w:val="en-US" w:eastAsia="zh-CN"/>
              </w:rPr>
              <w:t>L</w:t>
            </w: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)</w:t>
            </w:r>
          </w:p>
        </w:tc>
        <w:tc>
          <w:tcPr>
            <w:tcW w:w="449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2625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黑体" w:hAnsi="黑体" w:eastAsia="黑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</w:rPr>
              <w:t>技术要求</w:t>
            </w:r>
          </w:p>
        </w:tc>
        <w:tc>
          <w:tcPr>
            <w:tcW w:w="828" w:type="pct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Tahoma"/>
                <w:b/>
                <w:bCs/>
                <w:color w:val="000000"/>
                <w:kern w:val="0"/>
                <w:sz w:val="24"/>
                <w:lang w:val="en-US" w:eastAsia="zh-CN"/>
              </w:rPr>
              <w:t>报价（含税）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459" w:type="pct"/>
            <w:vAlign w:val="center"/>
          </w:tcPr>
          <w:p>
            <w:pPr>
              <w:jc w:val="center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冰箱1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202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</w:t>
            </w:r>
          </w:p>
        </w:tc>
        <w:tc>
          <w:tcPr>
            <w:tcW w:w="2625" w:type="pct"/>
          </w:tcPr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</w:rPr>
              <w:t>产品尺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寸（mm）：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产品外形宽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≥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59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mm、深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≥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65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mm、高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≥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14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25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mm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eastAsia="zh-CN"/>
              </w:rPr>
              <w:t>总容积(L)：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≥202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51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119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标准耗电量(kW.h/24h)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0.3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综合耗电量(kW.h/24h)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0.4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冷冻能力kg/12h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：≥1.5</w:t>
            </w:r>
          </w:p>
          <w:p>
            <w:pP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噪音（dB)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≤36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防触电保护类别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：I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冷藏室配置照明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：是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搁架（冷藏）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：玻璃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：上冷藏下冷冻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箱门结构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：双门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：0-10℃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18℃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额定输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入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功率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87W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能效等级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不低于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2级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产品标准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:符合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GB/T 4706.1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2024、GB 4706.13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2014、GB 17625.1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2022、GB 4343.1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2024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标准</w:t>
            </w:r>
          </w:p>
        </w:tc>
        <w:tc>
          <w:tcPr>
            <w:tcW w:w="828" w:type="pct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59" w:type="pct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冰箱2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239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</w:t>
            </w:r>
          </w:p>
        </w:tc>
        <w:tc>
          <w:tcPr>
            <w:tcW w:w="2625" w:type="pct"/>
          </w:tcPr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产品尺寸（mm）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产品外形宽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≥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59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mm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深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≥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65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mm、高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≥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14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25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mm</w:t>
            </w:r>
          </w:p>
          <w:p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总容积(L)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：≥239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：≥60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：≥139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冰温室容积(L)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：≥40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标准耗电量(kW.h/24h)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0.3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综合耗电量(kW.h/24h)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0.4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冷冻能力kg/12h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：≥1.2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噪音（dB)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45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防触电保护类别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：I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搁架（冷藏）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：玻璃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：上冷藏中软冷冻下冷冻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箱门结构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：三门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冷藏温度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：0-10℃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软冷冻温度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：0~-5℃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冷冻温度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18℃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额定输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入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功率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≤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102W</w:t>
            </w:r>
          </w:p>
          <w:p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能效等级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：不低于</w:t>
            </w:r>
            <w:r>
              <w:rPr>
                <w:rFonts w:hint="eastAsia" w:ascii="黑体" w:hAnsi="黑体" w:eastAsia="黑体" w:cs="Tahoma"/>
                <w:b/>
                <w:bCs/>
                <w:color w:val="auto"/>
                <w:kern w:val="0"/>
                <w:sz w:val="24"/>
              </w:rPr>
              <w:t>2级</w:t>
            </w:r>
          </w:p>
          <w:p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产品标准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:符合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GB/T 4706.1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2024、GB 4706.13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2014、GB 17625.1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2022、GB 4343.1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noBreakHyphen/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2024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标准</w:t>
            </w:r>
          </w:p>
        </w:tc>
        <w:tc>
          <w:tcPr>
            <w:tcW w:w="828" w:type="pct"/>
          </w:tcPr>
          <w:p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outlineLvl w:val="1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bookmarkStart w:id="4" w:name="_GoBack"/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="仿宋" w:hAnsi="仿宋" w:eastAsia="仿宋" w:cs="仿宋"/>
          <w:b/>
          <w:color w:val="FF0000"/>
          <w:sz w:val="30"/>
          <w:szCs w:val="30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 xml:space="preserve">  </w:t>
      </w:r>
      <w:bookmarkStart w:id="3" w:name="_Toc25566"/>
      <w:r>
        <w:rPr>
          <w:rFonts w:hint="eastAsia" w:ascii="仿宋" w:hAnsi="仿宋" w:eastAsia="仿宋" w:cs="仿宋"/>
          <w:b/>
          <w:bCs/>
          <w:color w:val="auto"/>
          <w:sz w:val="28"/>
          <w:szCs w:val="36"/>
        </w:rPr>
        <w:t>★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三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b/>
          <w:color w:val="auto"/>
          <w:sz w:val="30"/>
          <w:szCs w:val="30"/>
          <w:lang w:eastAsia="zh-CN"/>
        </w:rPr>
        <w:t>商务</w:t>
      </w:r>
      <w:r>
        <w:rPr>
          <w:rFonts w:hint="eastAsia" w:ascii="仿宋" w:hAnsi="仿宋" w:eastAsia="仿宋" w:cs="仿宋"/>
          <w:b/>
          <w:color w:val="auto"/>
          <w:sz w:val="30"/>
          <w:szCs w:val="30"/>
        </w:rPr>
        <w:t>要求</w:t>
      </w:r>
      <w:bookmarkEnd w:id="1"/>
      <w:bookmarkEnd w:id="3"/>
    </w:p>
    <w:p>
      <w:pPr>
        <w:spacing w:line="360" w:lineRule="auto"/>
        <w:ind w:firstLine="480" w:firstLineChars="200"/>
        <w:rPr>
          <w:rFonts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theme="minorBid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  <w:t>合同签订：成交通知书发出之日起30日内。</w:t>
      </w:r>
    </w:p>
    <w:p>
      <w:pPr>
        <w:spacing w:line="360" w:lineRule="auto"/>
        <w:ind w:firstLine="480" w:firstLineChars="200"/>
        <w:rPr>
          <w:rFonts w:hint="eastAsia" w:ascii="仿宋_GB2312" w:hAnsi="仿宋" w:eastAsia="仿宋_GB2312"/>
          <w:color w:val="auto"/>
          <w:sz w:val="24"/>
        </w:rPr>
      </w:pPr>
      <w:r>
        <w:rPr>
          <w:rFonts w:hint="eastAsia" w:ascii="仿宋" w:hAnsi="仿宋" w:eastAsia="仿宋" w:cstheme="minorBidi"/>
          <w:color w:val="auto"/>
          <w:sz w:val="24"/>
        </w:rPr>
        <w:t>2</w:t>
      </w:r>
      <w:r>
        <w:rPr>
          <w:rFonts w:hint="eastAsia" w:ascii="仿宋" w:hAnsi="仿宋" w:eastAsia="仿宋" w:cstheme="minorBidi"/>
          <w:color w:val="auto"/>
          <w:sz w:val="24"/>
          <w:lang w:val="en-US" w:eastAsia="zh-CN"/>
        </w:rPr>
        <w:t>.</w:t>
      </w:r>
      <w:r>
        <w:rPr>
          <w:rFonts w:hint="eastAsia" w:ascii="仿宋" w:hAnsi="仿宋" w:eastAsia="仿宋" w:cstheme="minorBidi"/>
          <w:color w:val="auto"/>
          <w:sz w:val="24"/>
        </w:rPr>
        <w:t>付款方式：</w:t>
      </w:r>
      <w:r>
        <w:rPr>
          <w:rFonts w:hint="eastAsia" w:ascii="仿宋_GB2312" w:hAnsi="仿宋" w:eastAsia="仿宋_GB2312"/>
          <w:color w:val="auto"/>
          <w:sz w:val="24"/>
        </w:rPr>
        <w:t>分批进行结算，采购人自收到供应商提供的产品，按实际送货数量进行验收结算，验收无误后</w:t>
      </w:r>
      <w:r>
        <w:rPr>
          <w:rFonts w:hint="eastAsia" w:ascii="仿宋_GB2312" w:hAnsi="仿宋" w:eastAsia="仿宋_GB2312"/>
          <w:color w:val="auto"/>
          <w:sz w:val="24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24"/>
          <w:lang w:val="en-US" w:eastAsia="zh-CN"/>
        </w:rPr>
        <w:t>30个工作日内</w:t>
      </w:r>
      <w:r>
        <w:rPr>
          <w:rFonts w:hint="eastAsia" w:ascii="仿宋_GB2312" w:hAnsi="仿宋" w:eastAsia="仿宋_GB2312"/>
          <w:color w:val="auto"/>
          <w:sz w:val="24"/>
        </w:rPr>
        <w:t>支付当批的全部费用。</w:t>
      </w:r>
    </w:p>
    <w:p>
      <w:pPr>
        <w:spacing w:line="360" w:lineRule="auto"/>
        <w:ind w:firstLine="480" w:firstLineChars="200"/>
        <w:rPr>
          <w:rFonts w:ascii="仿宋" w:hAnsi="仿宋" w:eastAsia="仿宋" w:cstheme="minorBidi"/>
          <w:color w:val="auto"/>
          <w:sz w:val="24"/>
        </w:rPr>
      </w:pPr>
      <w:r>
        <w:rPr>
          <w:rFonts w:hint="eastAsia" w:ascii="仿宋" w:hAnsi="仿宋" w:eastAsia="仿宋" w:cstheme="minorBidi"/>
          <w:color w:val="auto"/>
          <w:sz w:val="24"/>
        </w:rPr>
        <w:t>3</w:t>
      </w:r>
      <w:r>
        <w:rPr>
          <w:rFonts w:hint="eastAsia" w:ascii="仿宋" w:hAnsi="仿宋" w:eastAsia="仿宋" w:cstheme="minorBidi"/>
          <w:color w:val="auto"/>
          <w:sz w:val="24"/>
          <w:lang w:val="en-US" w:eastAsia="zh-CN"/>
        </w:rPr>
        <w:t>.服务</w:t>
      </w:r>
      <w:r>
        <w:rPr>
          <w:rFonts w:hint="eastAsia" w:ascii="仿宋" w:hAnsi="仿宋" w:eastAsia="仿宋" w:cstheme="minorBidi"/>
          <w:color w:val="auto"/>
          <w:sz w:val="24"/>
        </w:rPr>
        <w:t>期限：</w:t>
      </w:r>
      <w:r>
        <w:rPr>
          <w:rFonts w:hint="eastAsia" w:ascii="仿宋_GB2312" w:hAnsi="仿宋" w:eastAsia="仿宋_GB2312"/>
          <w:sz w:val="24"/>
          <w:lang w:val="en-US" w:eastAsia="zh-CN"/>
        </w:rPr>
        <w:t>1</w:t>
      </w:r>
      <w:r>
        <w:rPr>
          <w:rFonts w:hint="eastAsia" w:ascii="仿宋_GB2312" w:hAnsi="仿宋" w:eastAsia="仿宋_GB2312"/>
          <w:sz w:val="24"/>
        </w:rPr>
        <w:t>年</w:t>
      </w:r>
      <w:r>
        <w:rPr>
          <w:rFonts w:hint="eastAsia" w:ascii="仿宋_GB2312" w:hAnsi="仿宋" w:eastAsia="仿宋_GB2312"/>
          <w:sz w:val="24"/>
          <w:lang w:val="en-US" w:eastAsia="zh-CN"/>
        </w:rPr>
        <w:t>或合同金额使用完为止</w:t>
      </w:r>
      <w:r>
        <w:rPr>
          <w:rFonts w:hint="eastAsia" w:ascii="仿宋" w:hAnsi="仿宋" w:eastAsia="仿宋" w:cstheme="minorBidi"/>
          <w:color w:val="auto"/>
          <w:sz w:val="24"/>
        </w:rPr>
        <w:t>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theme="minorBidi"/>
          <w:color w:val="auto"/>
          <w:sz w:val="24"/>
        </w:rPr>
      </w:pPr>
      <w:r>
        <w:rPr>
          <w:rFonts w:hint="eastAsia" w:ascii="仿宋" w:hAnsi="仿宋" w:eastAsia="仿宋" w:cs="仿宋"/>
          <w:bCs/>
          <w:color w:val="auto"/>
          <w:kern w:val="0"/>
          <w:sz w:val="24"/>
          <w:lang w:val="en-US" w:eastAsia="zh-CN"/>
        </w:rPr>
        <w:t>4.</w:t>
      </w:r>
      <w:r>
        <w:rPr>
          <w:rFonts w:hint="eastAsia" w:ascii="仿宋" w:hAnsi="仿宋" w:eastAsia="仿宋" w:cs="仿宋"/>
          <w:bCs/>
          <w:color w:val="auto"/>
          <w:kern w:val="0"/>
          <w:sz w:val="24"/>
        </w:rPr>
        <w:t>运输安装地点：成交供应商免费送货至采购人指定地点并负责安装，所发生的费用由成交供应商负责（包含设备价、运输及保险费、安装费、调试费、检验费等费用）。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theme="minorBidi"/>
          <w:color w:val="auto"/>
          <w:sz w:val="24"/>
          <w:lang w:val="en-US" w:eastAsia="zh-CN"/>
        </w:rPr>
        <w:t>5.</w:t>
      </w:r>
      <w:r>
        <w:rPr>
          <w:rFonts w:hint="eastAsia" w:ascii="仿宋" w:hAnsi="仿宋" w:eastAsia="仿宋" w:cstheme="minorBidi"/>
          <w:color w:val="auto"/>
          <w:sz w:val="24"/>
        </w:rPr>
        <w:t>质</w:t>
      </w:r>
      <w:r>
        <w:rPr>
          <w:rFonts w:hint="eastAsia" w:ascii="仿宋" w:hAnsi="仿宋" w:eastAsia="仿宋" w:cstheme="minorBidi"/>
          <w:color w:val="auto"/>
          <w:sz w:val="24"/>
          <w:lang w:val="en-US" w:eastAsia="zh-CN"/>
        </w:rPr>
        <w:t>保要求</w:t>
      </w:r>
      <w:r>
        <w:rPr>
          <w:rFonts w:hint="eastAsia" w:ascii="仿宋" w:hAnsi="仿宋" w:eastAsia="仿宋" w:cstheme="minorBidi"/>
          <w:color w:val="auto"/>
          <w:sz w:val="24"/>
        </w:rPr>
        <w:t>：产品质量三包按现行国家标准执行</w:t>
      </w:r>
      <w:r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spacing w:line="360" w:lineRule="auto"/>
        <w:ind w:firstLine="480" w:firstLineChars="200"/>
        <w:jc w:val="left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6.送货响应：</w:t>
      </w:r>
      <w:r>
        <w:rPr>
          <w:rFonts w:hint="eastAsia" w:ascii="仿宋" w:hAnsi="仿宋" w:eastAsia="仿宋" w:cs="仿宋"/>
          <w:kern w:val="2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kern w:val="2"/>
          <w:sz w:val="24"/>
          <w:lang w:val="zh-CN"/>
        </w:rPr>
        <w:t>必须在</w:t>
      </w:r>
      <w:r>
        <w:rPr>
          <w:rFonts w:hint="eastAsia" w:ascii="仿宋" w:hAnsi="仿宋" w:eastAsia="仿宋" w:cs="仿宋"/>
          <w:kern w:val="2"/>
          <w:sz w:val="24"/>
          <w:lang w:val="en-US" w:eastAsia="zh-CN"/>
        </w:rPr>
        <w:t>采购人</w:t>
      </w:r>
      <w:r>
        <w:rPr>
          <w:rFonts w:hint="eastAsia" w:ascii="仿宋" w:hAnsi="仿宋" w:eastAsia="仿宋" w:cs="仿宋"/>
          <w:kern w:val="2"/>
          <w:sz w:val="24"/>
          <w:lang w:val="zh-CN"/>
        </w:rPr>
        <w:t>提出需求后</w:t>
      </w:r>
      <w:r>
        <w:rPr>
          <w:rFonts w:hint="eastAsia" w:ascii="仿宋" w:hAnsi="仿宋" w:eastAsia="仿宋" w:cs="仿宋"/>
          <w:kern w:val="2"/>
          <w:sz w:val="24"/>
          <w:lang w:val="en-US" w:eastAsia="zh-CN"/>
        </w:rPr>
        <w:t>48</w:t>
      </w:r>
      <w:r>
        <w:rPr>
          <w:rFonts w:hint="eastAsia" w:ascii="仿宋" w:hAnsi="仿宋" w:eastAsia="仿宋" w:cs="仿宋"/>
          <w:kern w:val="2"/>
          <w:sz w:val="24"/>
          <w:lang w:val="zh-CN"/>
        </w:rPr>
        <w:t>小时内将货物送达指定地点，退换货必须在72小时内完成。</w:t>
      </w:r>
    </w:p>
    <w:p>
      <w:pPr>
        <w:widowControl/>
        <w:spacing w:line="360" w:lineRule="auto"/>
        <w:ind w:firstLine="480" w:firstLineChars="200"/>
        <w:jc w:val="left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7.结算方式：</w:t>
      </w:r>
      <w:r>
        <w:rPr>
          <w:rFonts w:hint="eastAsia" w:ascii="仿宋" w:hAnsi="仿宋" w:eastAsia="仿宋" w:cs="仿宋"/>
          <w:color w:val="FF0000"/>
          <w:sz w:val="24"/>
          <w:lang w:val="en-US" w:eastAsia="zh-CN"/>
        </w:rPr>
        <w:t>本项目采用下浮率方式报价。（</w:t>
      </w:r>
      <w:r>
        <w:rPr>
          <w:rFonts w:hint="eastAsia" w:ascii="仿宋" w:hAnsi="仿宋" w:eastAsia="仿宋" w:cs="仿宋"/>
          <w:color w:val="FF0000"/>
          <w:sz w:val="24"/>
          <w:lang w:val="zh-CN"/>
        </w:rPr>
        <w:t>最终成交单价以各产品单项控制价</w:t>
      </w:r>
      <w:r>
        <w:rPr>
          <w:rFonts w:hint="eastAsia" w:ascii="仿宋" w:hAnsi="仿宋" w:eastAsia="仿宋" w:cs="仿宋"/>
          <w:color w:val="FF0000"/>
          <w:sz w:val="24"/>
        </w:rPr>
        <w:t>*报价折扣进行结算</w:t>
      </w:r>
      <w:r>
        <w:rPr>
          <w:rFonts w:hint="eastAsia" w:ascii="仿宋" w:hAnsi="仿宋" w:eastAsia="仿宋" w:cs="仿宋"/>
          <w:color w:val="FF0000"/>
          <w:sz w:val="24"/>
          <w:lang w:val="zh-CN"/>
        </w:rPr>
        <w:t>。）</w:t>
      </w:r>
    </w:p>
    <w:p>
      <w:pPr>
        <w:spacing w:line="360" w:lineRule="auto"/>
        <w:ind w:firstLine="480" w:firstLineChars="200"/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theme="minorBid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  <w:t>验收标准：成交供应商与采购人应严格按照四川省财政厅按照《财政部关于进一步加强政府采购需求和履约验收管理的指导意见》（财库〔2016〕205号）以及</w:t>
      </w:r>
      <w:r>
        <w:rPr>
          <w:rFonts w:hint="eastAsia" w:ascii="仿宋" w:hAnsi="仿宋" w:eastAsia="仿宋" w:cstheme="minorBid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磋商</w:t>
      </w:r>
      <w:r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  <w:t>文件的质量要求和技术指标、供应商的响应文件及承诺与本合同约定标准的要求进行验收。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theme="minorBid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  <w:t>违约责任：按照采购人要求。如果供应商无故拖延超过要求日期，逾期每日扣成交金额1%的违约金，并且发包人有权无条件解除合同，并要求承包人赔偿一切损失。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theme="minorBid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  <w:t>争议解决方法：双方可先行进行协商，如无法解决按国家法律规定进行司法程序解决。</w:t>
      </w:r>
    </w:p>
    <w:p>
      <w:pPr>
        <w:spacing w:line="360" w:lineRule="auto"/>
        <w:ind w:firstLine="480" w:firstLineChars="200"/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theme="minorBid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" w:hAnsi="仿宋" w:eastAsia="仿宋" w:cstheme="minorBidi"/>
          <w:color w:val="000000" w:themeColor="text1"/>
          <w:sz w:val="24"/>
          <w14:textFill>
            <w14:solidFill>
              <w14:schemeClr w14:val="tx1"/>
            </w14:solidFill>
          </w14:textFill>
        </w:rPr>
        <w:t>. 安全责任：货物在运输、安装、调试等整个活动期间，在实施地点范围内，所有安全责任供应商方负责。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63E2D"/>
    <w:rsid w:val="179A0144"/>
    <w:rsid w:val="19565BDC"/>
    <w:rsid w:val="47502178"/>
    <w:rsid w:val="547C21AF"/>
    <w:rsid w:val="62B33068"/>
    <w:rsid w:val="6B263E2D"/>
    <w:rsid w:val="78E4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annotation text"/>
    <w:basedOn w:val="1"/>
    <w:qFormat/>
    <w:uiPriority w:val="0"/>
    <w:pPr>
      <w:jc w:val="left"/>
    </w:pPr>
    <w:rPr>
      <w:sz w:val="18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2026-04-24T01:50:00Z</dcterms:created>
  <dc:creator>HDY</dc:creator>
  <cp:lastModifiedBy>Administrator</cp:lastModifiedBy>
  <dcterms:modified xsi:type="dcterms:W3CDTF">2026-10-22T06:45:04Z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47C2DE055DB64E0BA9C97622DA2A4239</vt:lpwstr>
  </property>
</Properties>
</file>